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The Role of Experiential Learning in Modern Education</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8071689: Implementation and Evaluation of Curriculum</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April 5, 2026</w:t>
      </w:r>
    </w:p>
    <w:p>
      <w:pPr>
        <w:spacing w:after="0" w:before="0" w:line="480" w:lineRule="auto"/>
      </w:pPr>
      <w:r>
        <w:br w:type="page"/>
      </w:r>
    </w:p>
    <w:p>
      <w:pPr>
        <w:spacing w:after="0" w:before="0" w:line="480" w:lineRule="auto"/>
        <w:ind w:firstLine="720"/>
        <w:jc w:val="left"/>
      </w:pPr>
      <w:r>
        <w:rPr>
          <w:rFonts w:ascii="Times New Roman" w:cs="Times New Roman" w:eastAsia="Times New Roman" w:hAnsi="Times New Roman"/>
          <w:sz w:val="24"/>
          <w:szCs w:val="24"/>
        </w:rPr>
        <w:t xml:space="preserve">In the twenty-first century, informal learning has grown in significance as a part of education, going beyond standard classroom instruction to incorporate student-centered, real-world activities. Experiential learning, which stresses learning through firsthand experience, reflection, and active participation, is one of the most significant types of informal education.</w:t>
      </w:r>
    </w:p>
    <w:p>
      <w:pPr>
        <w:spacing w:after="0" w:before="0" w:line="480" w:lineRule="auto"/>
        <w:ind w:firstLine="720"/>
        <w:jc w:val="left"/>
      </w:pPr>
      <w:r>
        <w:rPr>
          <w:rFonts w:ascii="Times New Roman" w:cs="Times New Roman" w:eastAsia="Times New Roman" w:hAnsi="Times New Roman"/>
          <w:sz w:val="24"/>
          <w:szCs w:val="24"/>
        </w:rPr>
        <w:t xml:space="preserve">Experiential learning has proven to be a powerful tool for promoting deeper understanding, critical thinking, and lifelong learning as education continues to change to meet the demands of a rapidly changing world. This paper examines the concept of experiential learning, its historical development, the theories that underpin it, and its influence and effectiveness in contemporary education. By examining these factors, teachers can better understand how to apply experiential learning and maximize its advantages for students.</w:t>
      </w:r>
    </w:p>
    <w:p>
      <w:pPr>
        <w:spacing w:after="0" w:before="0" w:line="480" w:lineRule="auto"/>
        <w:ind w:firstLine="720"/>
        <w:jc w:val="left"/>
      </w:pPr>
      <w:r>
        <w:rPr>
          <w:rFonts w:ascii="Times New Roman" w:cs="Times New Roman" w:eastAsia="Times New Roman" w:hAnsi="Times New Roman"/>
          <w:sz w:val="24"/>
          <w:szCs w:val="24"/>
        </w:rPr>
        <w:t xml:space="preserve">Experiential learning is the process of learning by experience, in which knowledge is created through the transformation of experience (Kolb, 1984). This method encourages students to engage actively in worthwhile activities including internships, service learning, simulations, fieldwork, and project-based learning rather than depending only on lectures, textbooks, or passive instruction.</w:t>
      </w:r>
    </w:p>
    <w:p>
      <w:pPr>
        <w:spacing w:after="0" w:before="0" w:line="480" w:lineRule="auto"/>
        <w:ind w:firstLine="720"/>
        <w:jc w:val="left"/>
      </w:pPr>
      <w:r>
        <w:rPr>
          <w:rFonts w:ascii="Times New Roman" w:cs="Times New Roman" w:eastAsia="Times New Roman" w:hAnsi="Times New Roman"/>
          <w:sz w:val="24"/>
          <w:szCs w:val="24"/>
        </w:rPr>
        <w:t xml:space="preserve">This approach makes learning more relevant by enabling students to connect theory to experience. Because students must evaluate circumstances and draw conclusions from what they encounter, it also develops critical thinking and problem-solving. Additionally, because students participate actively rather than absorbing knowledge passively, experiential learning promotes increased motivation and ownership of learning. A recent scoping review of experiential learning environments found that the outcomes most consistently fostered across settings were confidence, communication, teamwork, and problem-solving (Duchatelet et al., 2024).</w:t>
      </w:r>
    </w:p>
    <w:p>
      <w:pPr>
        <w:spacing w:after="0" w:before="0" w:line="480" w:lineRule="auto"/>
        <w:ind w:firstLine="720"/>
        <w:jc w:val="left"/>
      </w:pPr>
      <w:r>
        <w:rPr>
          <w:rFonts w:ascii="Times New Roman" w:cs="Times New Roman" w:eastAsia="Times New Roman" w:hAnsi="Times New Roman"/>
          <w:sz w:val="24"/>
          <w:szCs w:val="24"/>
        </w:rPr>
        <w:t xml:space="preserve">Experiential learning originates with early educational thinkers who highlighted the value of experience in the learning process. John Dewey, who believed that education should be grounded in real-world experience and that students learn best when actively participating, was among the first contributors (Dewey, 1938). According to Dewey, traditional educational approaches frequently failed to connect with students’ lives and did not adequately prepare them for the challenges they would face beyond school. His theories, which encourage learning by doing and by reflecting, established the groundwork for experiential education.</w:t>
      </w:r>
    </w:p>
    <w:p>
      <w:pPr>
        <w:spacing w:after="0" w:before="0" w:line="480" w:lineRule="auto"/>
        <w:ind w:firstLine="720"/>
        <w:jc w:val="left"/>
      </w:pPr>
      <w:r>
        <w:rPr>
          <w:rFonts w:ascii="Times New Roman" w:cs="Times New Roman" w:eastAsia="Times New Roman" w:hAnsi="Times New Roman"/>
          <w:sz w:val="24"/>
          <w:szCs w:val="24"/>
        </w:rPr>
        <w:t xml:space="preserve">David Kolb later developed Experiential Learning Theory, which remains one of the most influential frameworks in the field. Kolb (1984) proposed a four-stage learning cycle comprising concrete experience, reflective observation, abstract conceptualization, and active experimentation. According to this model, learning occurs effectively when people move through each phase of the cycle, which enables them to reflect on their experiences, develop new concepts, and test those concepts.</w:t>
      </w:r>
    </w:p>
    <w:p>
      <w:pPr>
        <w:spacing w:after="0" w:before="0" w:line="480" w:lineRule="auto"/>
        <w:ind w:firstLine="720"/>
        <w:jc w:val="left"/>
      </w:pPr>
      <w:r>
        <w:rPr>
          <w:rFonts w:ascii="Times New Roman" w:cs="Times New Roman" w:eastAsia="Times New Roman" w:hAnsi="Times New Roman"/>
          <w:sz w:val="24"/>
          <w:szCs w:val="24"/>
        </w:rPr>
        <w:t xml:space="preserve">This cyclical process emphasizes that learning is dynamic and ongoing, and that knowledge is actively created rather than merely received. The model also acknowledges that different learning styles may arise from people’s preferences for different stages of the cycle. By recognizing these preferences, teachers can create more inclusive learning experiences that address the varied needs of their students. Kolb’s theory further emphasizes reflection as the crucial stage that converts experience into meaningful learning, a principle that continues to guide instructional design; a recent four-stage intervention in nursing education applied the cycle directly through case analysis, mind maps, reflective journals, and peer simulations (Cheng et al., 2025).</w:t>
      </w:r>
    </w:p>
    <w:p>
      <w:pPr>
        <w:spacing w:after="0" w:before="0" w:line="480" w:lineRule="auto"/>
        <w:ind w:firstLine="720"/>
        <w:jc w:val="left"/>
      </w:pPr>
      <w:r>
        <w:rPr>
          <w:rFonts w:ascii="Times New Roman" w:cs="Times New Roman" w:eastAsia="Times New Roman" w:hAnsi="Times New Roman"/>
          <w:sz w:val="24"/>
          <w:szCs w:val="24"/>
        </w:rPr>
        <w:t xml:space="preserve">Constructivist learning theory, which contends that students acquire knowledge through their experiences and interactions with the world around them, also informs the theoretical foundations of experiential learning (Vygotsky, 1978). The idea that learning is an active rather than passive process is central to constructivism. In experiential learning environments, students participate in problem-solving, teamwork, and critical thinking rather than merely receiving information. This aligns with the demands of contemporary education, where students need to develop creativity, flexibility, and communication skills that go beyond memorization.</w:t>
      </w:r>
    </w:p>
    <w:p>
      <w:pPr>
        <w:spacing w:after="0" w:before="0" w:line="480" w:lineRule="auto"/>
        <w:ind w:firstLine="720"/>
        <w:jc w:val="left"/>
      </w:pPr>
      <w:r>
        <w:rPr>
          <w:rFonts w:ascii="Times New Roman" w:cs="Times New Roman" w:eastAsia="Times New Roman" w:hAnsi="Times New Roman"/>
          <w:sz w:val="24"/>
          <w:szCs w:val="24"/>
        </w:rPr>
        <w:t xml:space="preserve">Bridging the gap between theory and practice is one of experiential learning’s main advantages. In conventional lecture-based classrooms, students often encounter concepts in the abstract, without seeing where those concepts apply outside the course. A student may be able to define a principle correctly on an examination and still be unable to recognize the situation in which it would be used, which makes the material feel disconnected from any purpose beyond assessment. Experiential learning addresses this problem by placing students in real settings where they must apply what they know in order to accomplish something (Kolb &amp; Kolb, 2005).</w:t>
      </w:r>
    </w:p>
    <w:p>
      <w:pPr>
        <w:spacing w:after="0" w:before="0" w:line="480" w:lineRule="auto"/>
        <w:ind w:firstLine="720"/>
        <w:jc w:val="left"/>
      </w:pPr>
      <w:r>
        <w:rPr>
          <w:rFonts w:ascii="Times New Roman" w:cs="Times New Roman" w:eastAsia="Times New Roman" w:hAnsi="Times New Roman"/>
          <w:sz w:val="24"/>
          <w:szCs w:val="24"/>
        </w:rPr>
        <w:t xml:space="preserve">For instance, internships give students practical experience in the industries they intend to enter, while service-learning initiatives allow them to contribute to their communities while developing professional skills. A recent meta-analysis of community engaged learning found small to moderate but statistically significant positive effects on academic and social outcomes, confirming that these placements produce measurable gains rather than only favorable impressions (Guanlao et al., 2025). A semester-long study of service-learning similarly reported higher quality of participation among students in the service-learning condition than among those in a conventional section of the same course (Compare &amp; Albanesi, 2024).</w:t>
      </w:r>
    </w:p>
    <w:p>
      <w:pPr>
        <w:spacing w:after="0" w:before="0" w:line="480" w:lineRule="auto"/>
        <w:ind w:firstLine="720"/>
        <w:jc w:val="left"/>
      </w:pPr>
      <w:r>
        <w:rPr>
          <w:rFonts w:ascii="Times New Roman" w:cs="Times New Roman" w:eastAsia="Times New Roman" w:hAnsi="Times New Roman"/>
          <w:sz w:val="24"/>
          <w:szCs w:val="24"/>
        </w:rPr>
        <w:t xml:space="preserve">The development of social and emotional skills is another significant advantage of experiential learning. Through cooperative activities and real-world interaction, students gain skill in communication, teamwork, and navigating difficult social situations, all of which are necessary for success in professional and academic contexts. Furthermore, students are frequently required to reflect on their experiences, which fosters self-awareness and personal development (Kolb &amp; Kolb, 2005). This reflective component helps learners understand their own learning processes, obstacles, and capabilities.</w:t>
      </w:r>
    </w:p>
    <w:p>
      <w:pPr>
        <w:spacing w:after="0" w:before="0" w:line="480" w:lineRule="auto"/>
        <w:ind w:firstLine="720"/>
        <w:jc w:val="left"/>
      </w:pPr>
      <w:r>
        <w:rPr>
          <w:rFonts w:ascii="Times New Roman" w:cs="Times New Roman" w:eastAsia="Times New Roman" w:hAnsi="Times New Roman"/>
          <w:sz w:val="24"/>
          <w:szCs w:val="24"/>
        </w:rPr>
        <w:t xml:space="preserve">Academic results have also been shown to improve. Research indicates that students who take advantage of practical learning opportunities typically exhibit higher levels of engagement and retention (Eyler, 2009), and a meta-analysis across decades of studies confirmed that experiential learning produced superior outcomes robustly across different types of measures (Burch et al., 2019). Students are more likely to retain and apply what they have learned because they participate actively in the process.</w:t>
      </w:r>
    </w:p>
    <w:p>
      <w:pPr>
        <w:spacing w:after="0" w:before="0" w:line="480" w:lineRule="auto"/>
        <w:ind w:firstLine="720"/>
        <w:jc w:val="left"/>
      </w:pPr>
      <w:r>
        <w:rPr>
          <w:rFonts w:ascii="Times New Roman" w:cs="Times New Roman" w:eastAsia="Times New Roman" w:hAnsi="Times New Roman"/>
          <w:sz w:val="24"/>
          <w:szCs w:val="24"/>
        </w:rPr>
        <w:t xml:space="preserve">Additionally, because experiential learning offers alternative methods that accommodate a range of learning preferences, it can be especially helpful for students who struggle in conventional classroom settings. Through practical accomplishment, this approach also builds confidence, leaving students better equipped to use their knowledge and abilities outside the classroom.</w:t>
      </w:r>
    </w:p>
    <w:p>
      <w:pPr>
        <w:spacing w:after="0" w:before="0" w:line="480" w:lineRule="auto"/>
        <w:ind w:firstLine="720"/>
        <w:jc w:val="left"/>
      </w:pPr>
      <w:r>
        <w:rPr>
          <w:rFonts w:ascii="Times New Roman" w:cs="Times New Roman" w:eastAsia="Times New Roman" w:hAnsi="Times New Roman"/>
          <w:sz w:val="24"/>
          <w:szCs w:val="24"/>
        </w:rPr>
        <w:t xml:space="preserve">Experiential learning is particularly valuable in twenty-first century education because it equips students to meet the demands of a rapidly changing workforce. Employers are looking for people who can solve problems, think critically, and adapt to changing circumstances. By exposing students to real-world problems and encouraging them to take initiative and think for themselves, experiential learning supports the development of these capabilities (Kolb, 1984). Students who take part in experiential learning are therefore better prepared for success in the workplace.</w:t>
      </w:r>
    </w:p>
    <w:p>
      <w:pPr>
        <w:spacing w:after="0" w:before="0" w:line="480" w:lineRule="auto"/>
        <w:ind w:firstLine="720"/>
        <w:jc w:val="left"/>
      </w:pPr>
      <w:r>
        <w:rPr>
          <w:rFonts w:ascii="Times New Roman" w:cs="Times New Roman" w:eastAsia="Times New Roman" w:hAnsi="Times New Roman"/>
          <w:sz w:val="24"/>
          <w:szCs w:val="24"/>
        </w:rPr>
        <w:t xml:space="preserve">The widespread adoption of experiential learning across educational contexts is evidence of its effectiveness. Through programs such as internships, cooperative education, study abroad, and project-based learning, many colleges and universities have integrated experiential learning into their curricula. Technological developments have expanded these opportunities further by enabling students to take part in online collaborative systems and virtual simulations (Kolb &amp; Kolb, 2005). A large-scale study of e-service-learning during the pandemic found that students engaged in remote placements still reported substantial learning outcomes, indicating that these formats can extend access without abandoning the pedagogy (Ngai et al., 2024).</w:t>
      </w:r>
    </w:p>
    <w:p>
      <w:pPr>
        <w:spacing w:after="0" w:before="0" w:line="480" w:lineRule="auto"/>
        <w:ind w:firstLine="720"/>
        <w:jc w:val="left"/>
      </w:pPr>
      <w:r>
        <w:rPr>
          <w:rFonts w:ascii="Times New Roman" w:cs="Times New Roman" w:eastAsia="Times New Roman" w:hAnsi="Times New Roman"/>
          <w:sz w:val="24"/>
          <w:szCs w:val="24"/>
        </w:rPr>
        <w:t xml:space="preserve">Experiential learning has numerous advantages, but there are drawbacks as well. Careful preparation, resources, and both administrative and instructional support are needed to put this approach into practice. Institutions must be prepared to invest in opportunities that extend beyond the classroom, and teachers must be trained to facilitate experiential learning effectively. Even so, these difficulties are outweighed by the long-term benefits, making experiential learning a worthwhile investment.</w:t>
      </w:r>
    </w:p>
    <w:p>
      <w:pPr>
        <w:spacing w:after="0" w:before="0" w:line="480" w:lineRule="auto"/>
        <w:ind w:firstLine="720"/>
        <w:jc w:val="left"/>
      </w:pPr>
      <w:r>
        <w:rPr>
          <w:rFonts w:ascii="Times New Roman" w:cs="Times New Roman" w:eastAsia="Times New Roman" w:hAnsi="Times New Roman"/>
          <w:sz w:val="24"/>
          <w:szCs w:val="24"/>
        </w:rPr>
        <w:t xml:space="preserve">Assessing student achievement in a consistent and measurable way is another challenge. Because experiential learning frequently involves open-ended tasks, reflection, and real-world application, it is more difficult to assess using standardized grading techniques than traditional tests and quizzes. Instructors may find it difficult to design fair and reliable assessments that capture both the learning process and the final product. Time constraints in school schedules can also make full integration difficult. Despite these challenges, teachers can assess student progress effectively while preserving the depth and authenticity of the experience through precise rubrics, structured reflection, and ongoing support.</w:t>
      </w:r>
    </w:p>
    <w:p>
      <w:pPr>
        <w:spacing w:after="0" w:before="0" w:line="480" w:lineRule="auto"/>
        <w:ind w:firstLine="720"/>
        <w:jc w:val="left"/>
      </w:pPr>
      <w:r>
        <w:rPr>
          <w:rFonts w:ascii="Times New Roman" w:cs="Times New Roman" w:eastAsia="Times New Roman" w:hAnsi="Times New Roman"/>
          <w:sz w:val="24"/>
          <w:szCs w:val="24"/>
        </w:rPr>
        <w:t xml:space="preserve">To conclude, experiential learning is a powerful and effective form of informal learning that has become a crucial component of contemporary education. By placing a strong emphasis on learning through experience, reflection, and active participation, this method supports the development of important life skills and a deeper comprehension of course material. Its strong theoretical foundation, historical roots, and demonstrated results show its significance in preparing students for the complexity of the twenty-first century.</w:t>
      </w:r>
    </w:p>
    <w:p>
      <w:pPr>
        <w:spacing w:after="0" w:before="0" w:line="480" w:lineRule="auto"/>
        <w:ind w:firstLine="720"/>
        <w:jc w:val="left"/>
      </w:pPr>
      <w:r>
        <w:rPr>
          <w:rFonts w:ascii="Times New Roman" w:cs="Times New Roman" w:eastAsia="Times New Roman" w:hAnsi="Times New Roman"/>
          <w:sz w:val="24"/>
          <w:szCs w:val="24"/>
        </w:rPr>
        <w:t xml:space="preserve">Experiential learning will likely become more important still in developing capable, well-rounded, and lifelong learners as education continues to evolve. By giving diverse students a variety of opportunities to participate and succeed, experiential learning not only improves academic performance but also advances equity and inclusion. Where traditional instruction frequently rewards students who perform well in lecture-based or test-driven situations, experiential learning enables students to demonstrate understanding through practical work, teamwork, and real-world application.</w:t>
      </w:r>
    </w:p>
    <w:p>
      <w:pPr>
        <w:spacing w:after="0" w:before="0" w:line="480" w:lineRule="auto"/>
        <w:ind w:firstLine="720"/>
        <w:jc w:val="left"/>
      </w:pPr>
      <w:r>
        <w:rPr>
          <w:rFonts w:ascii="Times New Roman" w:cs="Times New Roman" w:eastAsia="Times New Roman" w:hAnsi="Times New Roman"/>
          <w:sz w:val="24"/>
          <w:szCs w:val="24"/>
        </w:rPr>
        <w:t xml:space="preserve">Because it values a range of viewpoints and experiences, this approach can be particularly helpful for students from diverse cultural, linguistic, or educational backgrounds. By providing more inclusive and adaptable learning experiences, experiential learning helps ensure that every student has the opportunity to flourish and realize their full potential in a constantly evolving educational environment.</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Burch, G. F., Giambatista, R. C., Batchelor, J. H., &amp; Burch, J. (2019). A meta-analysis of the relationship between experiential learning and learning outcomes. </w:t>
      </w:r>
      <w:r>
        <w:rPr>
          <w:rFonts w:ascii="Times New Roman" w:cs="Times New Roman" w:eastAsia="Times New Roman" w:hAnsi="Times New Roman"/>
          <w:i/>
          <w:iCs/>
          <w:sz w:val="24"/>
          <w:szCs w:val="24"/>
        </w:rPr>
        <w:t xml:space="preserve">Decision Sciences Journal of Innovative Education, 17</w:t>
      </w:r>
      <w:r>
        <w:rPr>
          <w:rFonts w:ascii="Times New Roman" w:cs="Times New Roman" w:eastAsia="Times New Roman" w:hAnsi="Times New Roman"/>
          <w:sz w:val="24"/>
          <w:szCs w:val="24"/>
        </w:rPr>
        <w:t xml:space="preserve">(3), 239–273.</w:t>
      </w:r>
    </w:p>
    <w:p>
      <w:pPr>
        <w:spacing w:after="0" w:before="0" w:line="480" w:lineRule="auto"/>
        <w:ind w:left="720" w:hanging="720"/>
        <w:jc w:val="left"/>
      </w:pPr>
      <w:r>
        <w:rPr>
          <w:rFonts w:ascii="Times New Roman" w:cs="Times New Roman" w:eastAsia="Times New Roman" w:hAnsi="Times New Roman"/>
          <w:sz w:val="24"/>
          <w:szCs w:val="24"/>
        </w:rPr>
        <w:t xml:space="preserve">Cheng, J., Wu, Y., Huang, L., Wu, Y., &amp; Guan, Y. (2025). Integrating Kolb’s experiential learning theory into nursing education: A four-stage intervention with case analysis, mind maps, reflective journals, and peer simulations for advanced health assessment. </w:t>
      </w:r>
      <w:r>
        <w:rPr>
          <w:rFonts w:ascii="Times New Roman" w:cs="Times New Roman" w:eastAsia="Times New Roman" w:hAnsi="Times New Roman"/>
          <w:i/>
          <w:iCs/>
          <w:sz w:val="24"/>
          <w:szCs w:val="24"/>
        </w:rPr>
        <w:t xml:space="preserve">Frontiers in Medicine, 12</w:t>
      </w:r>
      <w:r>
        <w:rPr>
          <w:rFonts w:ascii="Times New Roman" w:cs="Times New Roman" w:eastAsia="Times New Roman" w:hAnsi="Times New Roman"/>
          <w:sz w:val="24"/>
          <w:szCs w:val="24"/>
        </w:rPr>
        <w:t xml:space="preserve">, 1616392.</w:t>
      </w:r>
    </w:p>
    <w:p>
      <w:pPr>
        <w:spacing w:after="0" w:before="0" w:line="480" w:lineRule="auto"/>
        <w:ind w:left="720" w:hanging="720"/>
        <w:jc w:val="left"/>
      </w:pPr>
      <w:r>
        <w:rPr>
          <w:rFonts w:ascii="Times New Roman" w:cs="Times New Roman" w:eastAsia="Times New Roman" w:hAnsi="Times New Roman"/>
          <w:sz w:val="24"/>
          <w:szCs w:val="24"/>
        </w:rPr>
        <w:t xml:space="preserve">Compare, C., &amp; Albanesi, C. (2024). Exploring the effects of semester-long service-learning: A study on psychosocial variables and quality of participation experiences. </w:t>
      </w:r>
      <w:r>
        <w:rPr>
          <w:rFonts w:ascii="Times New Roman" w:cs="Times New Roman" w:eastAsia="Times New Roman" w:hAnsi="Times New Roman"/>
          <w:i/>
          <w:iCs/>
          <w:sz w:val="24"/>
          <w:szCs w:val="24"/>
        </w:rPr>
        <w:t xml:space="preserve">Journal of Experiential Education, 47</w:t>
      </w:r>
      <w:r>
        <w:rPr>
          <w:rFonts w:ascii="Times New Roman" w:cs="Times New Roman" w:eastAsia="Times New Roman" w:hAnsi="Times New Roman"/>
          <w:sz w:val="24"/>
          <w:szCs w:val="24"/>
        </w:rPr>
        <w:t xml:space="preserve">, 602–622.</w:t>
      </w:r>
    </w:p>
    <w:p>
      <w:pPr>
        <w:spacing w:after="0" w:before="0" w:line="480" w:lineRule="auto"/>
        <w:ind w:left="720" w:hanging="720"/>
        <w:jc w:val="left"/>
      </w:pPr>
      <w:r>
        <w:rPr>
          <w:rFonts w:ascii="Times New Roman" w:cs="Times New Roman" w:eastAsia="Times New Roman" w:hAnsi="Times New Roman"/>
          <w:sz w:val="24"/>
          <w:szCs w:val="24"/>
        </w:rPr>
        <w:t xml:space="preserve">Dewey, J. (1938). </w:t>
      </w:r>
      <w:r>
        <w:rPr>
          <w:rFonts w:ascii="Times New Roman" w:cs="Times New Roman" w:eastAsia="Times New Roman" w:hAnsi="Times New Roman"/>
          <w:i/>
          <w:iCs/>
          <w:sz w:val="24"/>
          <w:szCs w:val="24"/>
        </w:rPr>
        <w:t xml:space="preserve">Experience and education</w:t>
      </w:r>
      <w:r>
        <w:rPr>
          <w:rFonts w:ascii="Times New Roman" w:cs="Times New Roman" w:eastAsia="Times New Roman" w:hAnsi="Times New Roman"/>
          <w:sz w:val="24"/>
          <w:szCs w:val="24"/>
        </w:rPr>
        <w:t xml:space="preserve">. Kappa Delta Pi.</w:t>
      </w:r>
    </w:p>
    <w:p>
      <w:pPr>
        <w:spacing w:after="0" w:before="0" w:line="480" w:lineRule="auto"/>
        <w:ind w:left="720" w:hanging="720"/>
        <w:jc w:val="left"/>
      </w:pPr>
      <w:r>
        <w:rPr>
          <w:rFonts w:ascii="Times New Roman" w:cs="Times New Roman" w:eastAsia="Times New Roman" w:hAnsi="Times New Roman"/>
          <w:sz w:val="24"/>
          <w:szCs w:val="24"/>
        </w:rPr>
        <w:t xml:space="preserve">Duchatelet, D., Cornelissen, F., &amp; Volman, M. (2024). Features of experiential learning environments in relation to generic learning outcomes in higher education: A scoping review. </w:t>
      </w:r>
      <w:r>
        <w:rPr>
          <w:rFonts w:ascii="Times New Roman" w:cs="Times New Roman" w:eastAsia="Times New Roman" w:hAnsi="Times New Roman"/>
          <w:i/>
          <w:iCs/>
          <w:sz w:val="24"/>
          <w:szCs w:val="24"/>
        </w:rPr>
        <w:t xml:space="preserve">Journal of Experiential Education, 47</w:t>
      </w:r>
      <w:r>
        <w:rPr>
          <w:rFonts w:ascii="Times New Roman" w:cs="Times New Roman" w:eastAsia="Times New Roman" w:hAnsi="Times New Roman"/>
          <w:sz w:val="24"/>
          <w:szCs w:val="24"/>
        </w:rPr>
        <w:t xml:space="preserve">(3), 400–423.</w:t>
      </w:r>
    </w:p>
    <w:p>
      <w:pPr>
        <w:spacing w:after="0" w:before="0" w:line="480" w:lineRule="auto"/>
        <w:ind w:left="720" w:hanging="720"/>
        <w:jc w:val="left"/>
      </w:pPr>
      <w:r>
        <w:rPr>
          <w:rFonts w:ascii="Times New Roman" w:cs="Times New Roman" w:eastAsia="Times New Roman" w:hAnsi="Times New Roman"/>
          <w:sz w:val="24"/>
          <w:szCs w:val="24"/>
        </w:rPr>
        <w:t xml:space="preserve">Eyler, J. (2009). The power of experiential education. </w:t>
      </w:r>
      <w:r>
        <w:rPr>
          <w:rFonts w:ascii="Times New Roman" w:cs="Times New Roman" w:eastAsia="Times New Roman" w:hAnsi="Times New Roman"/>
          <w:i/>
          <w:iCs/>
          <w:sz w:val="24"/>
          <w:szCs w:val="24"/>
        </w:rPr>
        <w:t xml:space="preserve">Liberal Education, 95</w:t>
      </w:r>
      <w:r>
        <w:rPr>
          <w:rFonts w:ascii="Times New Roman" w:cs="Times New Roman" w:eastAsia="Times New Roman" w:hAnsi="Times New Roman"/>
          <w:sz w:val="24"/>
          <w:szCs w:val="24"/>
        </w:rPr>
        <w:t xml:space="preserve">(4), 24–31.</w:t>
      </w:r>
    </w:p>
    <w:p>
      <w:pPr>
        <w:spacing w:after="0" w:before="0" w:line="480" w:lineRule="auto"/>
        <w:ind w:left="720" w:hanging="720"/>
        <w:jc w:val="left"/>
      </w:pPr>
      <w:r>
        <w:rPr>
          <w:rFonts w:ascii="Times New Roman" w:cs="Times New Roman" w:eastAsia="Times New Roman" w:hAnsi="Times New Roman"/>
          <w:sz w:val="24"/>
          <w:szCs w:val="24"/>
        </w:rPr>
        <w:t xml:space="preserve">Guanlao, R., Pax, J., Wei, Y., &amp; Zhang, W. (2025). A meta-analysis of community engaged learning and thriving in higher education. </w:t>
      </w:r>
      <w:r>
        <w:rPr>
          <w:rFonts w:ascii="Times New Roman" w:cs="Times New Roman" w:eastAsia="Times New Roman" w:hAnsi="Times New Roman"/>
          <w:i/>
          <w:iCs/>
          <w:sz w:val="24"/>
          <w:szCs w:val="24"/>
        </w:rPr>
        <w:t xml:space="preserve">Frontiers in Education, 10</w:t>
      </w:r>
      <w:r>
        <w:rPr>
          <w:rFonts w:ascii="Times New Roman" w:cs="Times New Roman" w:eastAsia="Times New Roman" w:hAnsi="Times New Roman"/>
          <w:sz w:val="24"/>
          <w:szCs w:val="24"/>
        </w:rPr>
        <w:t xml:space="preserve">, 1525176.</w:t>
      </w:r>
    </w:p>
    <w:p>
      <w:pPr>
        <w:spacing w:after="0" w:before="0" w:line="480" w:lineRule="auto"/>
        <w:ind w:left="720" w:hanging="720"/>
        <w:jc w:val="left"/>
      </w:pPr>
      <w:r>
        <w:rPr>
          <w:rFonts w:ascii="Times New Roman" w:cs="Times New Roman" w:eastAsia="Times New Roman" w:hAnsi="Times New Roman"/>
          <w:sz w:val="24"/>
          <w:szCs w:val="24"/>
        </w:rPr>
        <w:t xml:space="preserve">Kolb, A. Y., &amp; Kolb, D. A. (2005). Learning styles and learning spaces: Enhancing experiential learning in higher education. </w:t>
      </w:r>
      <w:r>
        <w:rPr>
          <w:rFonts w:ascii="Times New Roman" w:cs="Times New Roman" w:eastAsia="Times New Roman" w:hAnsi="Times New Roman"/>
          <w:i/>
          <w:iCs/>
          <w:sz w:val="24"/>
          <w:szCs w:val="24"/>
        </w:rPr>
        <w:t xml:space="preserve">Academy of Management Learning &amp; Education, 4</w:t>
      </w:r>
      <w:r>
        <w:rPr>
          <w:rFonts w:ascii="Times New Roman" w:cs="Times New Roman" w:eastAsia="Times New Roman" w:hAnsi="Times New Roman"/>
          <w:sz w:val="24"/>
          <w:szCs w:val="24"/>
        </w:rPr>
        <w:t xml:space="preserve">(2), 193–212.</w:t>
      </w:r>
    </w:p>
    <w:p>
      <w:pPr>
        <w:spacing w:after="0" w:before="0" w:line="480" w:lineRule="auto"/>
        <w:ind w:left="720" w:hanging="720"/>
        <w:jc w:val="left"/>
      </w:pPr>
      <w:r>
        <w:rPr>
          <w:rFonts w:ascii="Times New Roman" w:cs="Times New Roman" w:eastAsia="Times New Roman" w:hAnsi="Times New Roman"/>
          <w:sz w:val="24"/>
          <w:szCs w:val="24"/>
        </w:rPr>
        <w:t xml:space="preserve">Kolb, D. A. (1984). </w:t>
      </w:r>
      <w:r>
        <w:rPr>
          <w:rFonts w:ascii="Times New Roman" w:cs="Times New Roman" w:eastAsia="Times New Roman" w:hAnsi="Times New Roman"/>
          <w:i/>
          <w:iCs/>
          <w:sz w:val="24"/>
          <w:szCs w:val="24"/>
        </w:rPr>
        <w:t xml:space="preserve">Experiential learning: Experience as the source of learning and development</w:t>
      </w:r>
      <w:r>
        <w:rPr>
          <w:rFonts w:ascii="Times New Roman" w:cs="Times New Roman" w:eastAsia="Times New Roman" w:hAnsi="Times New Roman"/>
          <w:sz w:val="24"/>
          <w:szCs w:val="24"/>
        </w:rPr>
        <w:t xml:space="preserve">. Prentice Hall.</w:t>
      </w:r>
    </w:p>
    <w:p>
      <w:pPr>
        <w:spacing w:after="0" w:before="0" w:line="480" w:lineRule="auto"/>
        <w:ind w:left="720" w:hanging="720"/>
        <w:jc w:val="left"/>
      </w:pPr>
      <w:r>
        <w:rPr>
          <w:rFonts w:ascii="Times New Roman" w:cs="Times New Roman" w:eastAsia="Times New Roman" w:hAnsi="Times New Roman"/>
          <w:sz w:val="24"/>
          <w:szCs w:val="24"/>
        </w:rPr>
        <w:t xml:space="preserve">Ngai, G., Lau, K. H., &amp; Kwan, K. P. (2024). A large-scale study of students’ e-service-learning experiences and outcomes during the pandemic. </w:t>
      </w:r>
      <w:r>
        <w:rPr>
          <w:rFonts w:ascii="Times New Roman" w:cs="Times New Roman" w:eastAsia="Times New Roman" w:hAnsi="Times New Roman"/>
          <w:i/>
          <w:iCs/>
          <w:sz w:val="24"/>
          <w:szCs w:val="24"/>
        </w:rPr>
        <w:t xml:space="preserve">Journal of Experiential Education, 47</w:t>
      </w:r>
      <w:r>
        <w:rPr>
          <w:rFonts w:ascii="Times New Roman" w:cs="Times New Roman" w:eastAsia="Times New Roman" w:hAnsi="Times New Roman"/>
          <w:sz w:val="24"/>
          <w:szCs w:val="24"/>
        </w:rPr>
        <w:t xml:space="preserve">, 29–52.</w:t>
      </w:r>
    </w:p>
    <w:p>
      <w:pPr>
        <w:spacing w:after="0" w:before="0" w:line="480" w:lineRule="auto"/>
        <w:ind w:left="720" w:hanging="720"/>
        <w:jc w:val="left"/>
      </w:pPr>
      <w:r>
        <w:rPr>
          <w:rFonts w:ascii="Times New Roman" w:cs="Times New Roman" w:eastAsia="Times New Roman" w:hAnsi="Times New Roman"/>
          <w:sz w:val="24"/>
          <w:szCs w:val="24"/>
        </w:rPr>
        <w:t xml:space="preserve">Vygotsky, L. S. (1978). </w:t>
      </w:r>
      <w:r>
        <w:rPr>
          <w:rFonts w:ascii="Times New Roman" w:cs="Times New Roman" w:eastAsia="Times New Roman" w:hAnsi="Times New Roman"/>
          <w:i/>
          <w:iCs/>
          <w:sz w:val="24"/>
          <w:szCs w:val="24"/>
        </w:rPr>
        <w:t xml:space="preserve">Mind in society: The development of higher psychological processes</w:t>
      </w:r>
      <w:r>
        <w:rPr>
          <w:rFonts w:ascii="Times New Roman" w:cs="Times New Roman" w:eastAsia="Times New Roman" w:hAnsi="Times New Roman"/>
          <w:sz w:val="24"/>
          <w:szCs w:val="24"/>
        </w:rPr>
        <w:t xml:space="preserve">. Harvard University Press.</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2026-08-15T04:32:16.061Z</dcterms:created>
  <dcterms:modified xsi:type="dcterms:W3CDTF">2026-08-15T04:32:16.061Z</dcterms:modified>
</cp:coreProperties>
</file>

<file path=docProps/custom.xml><?xml version="1.0" encoding="utf-8"?>
<Properties xmlns="http://schemas.openxmlformats.org/officeDocument/2006/custom-properties" xmlns:vt="http://schemas.openxmlformats.org/officeDocument/2006/docPropsVTypes"/>
</file>